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672187" w14:paraId="0F5A715F" w14:textId="77777777" w:rsidTr="00672187">
        <w:tc>
          <w:tcPr>
            <w:tcW w:w="2122" w:type="dxa"/>
          </w:tcPr>
          <w:p w14:paraId="4F0A872D" w14:textId="77777777" w:rsidR="00E75504" w:rsidRPr="00672187" w:rsidRDefault="00F622FE" w:rsidP="0010623C">
            <w:pPr>
              <w:rPr>
                <w:rFonts w:ascii="Verdana" w:hAnsi="Verdana"/>
                <w:b/>
                <w:sz w:val="20"/>
                <w:szCs w:val="20"/>
              </w:rPr>
            </w:pPr>
            <w:r w:rsidRPr="00672187">
              <w:rPr>
                <w:rFonts w:ascii="Verdana" w:hAnsi="Verdana"/>
                <w:b/>
                <w:sz w:val="20"/>
                <w:szCs w:val="20"/>
              </w:rPr>
              <w:t>Job title</w:t>
            </w:r>
          </w:p>
          <w:p w14:paraId="61F09B18" w14:textId="77777777" w:rsidR="00BC698F" w:rsidRPr="00672187" w:rsidRDefault="00BC698F" w:rsidP="0010623C">
            <w:pPr>
              <w:rPr>
                <w:rFonts w:ascii="Verdana" w:hAnsi="Verdana"/>
                <w:b/>
                <w:sz w:val="20"/>
                <w:szCs w:val="20"/>
              </w:rPr>
            </w:pPr>
          </w:p>
        </w:tc>
        <w:tc>
          <w:tcPr>
            <w:tcW w:w="6894" w:type="dxa"/>
          </w:tcPr>
          <w:p w14:paraId="667AC813" w14:textId="2F7C57E0" w:rsidR="00F622FE" w:rsidRPr="0097021D" w:rsidRDefault="0097021D">
            <w:pPr>
              <w:rPr>
                <w:rFonts w:ascii="Verdana" w:hAnsi="Verdana"/>
                <w:sz w:val="20"/>
                <w:szCs w:val="20"/>
              </w:rPr>
            </w:pPr>
            <w:r w:rsidRPr="0097021D">
              <w:rPr>
                <w:rFonts w:ascii="Verdana" w:hAnsi="Verdana"/>
                <w:sz w:val="20"/>
                <w:szCs w:val="20"/>
              </w:rPr>
              <w:t>Cybersecurity Manager</w:t>
            </w:r>
          </w:p>
        </w:tc>
      </w:tr>
      <w:tr w:rsidR="00F622FE" w:rsidRPr="00672187" w14:paraId="5C18E740" w14:textId="77777777" w:rsidTr="00672187">
        <w:tc>
          <w:tcPr>
            <w:tcW w:w="2122" w:type="dxa"/>
          </w:tcPr>
          <w:p w14:paraId="1BBC15A4" w14:textId="77777777" w:rsidR="00E75504" w:rsidRPr="00672187" w:rsidRDefault="00F622FE" w:rsidP="0010623C">
            <w:pPr>
              <w:rPr>
                <w:rFonts w:ascii="Verdana" w:hAnsi="Verdana"/>
                <w:b/>
                <w:sz w:val="20"/>
                <w:szCs w:val="20"/>
              </w:rPr>
            </w:pPr>
            <w:r w:rsidRPr="00672187">
              <w:rPr>
                <w:rFonts w:ascii="Verdana" w:hAnsi="Verdana"/>
                <w:b/>
                <w:sz w:val="20"/>
                <w:szCs w:val="20"/>
              </w:rPr>
              <w:t>Department</w:t>
            </w:r>
          </w:p>
          <w:p w14:paraId="1996FD09" w14:textId="77777777" w:rsidR="00BC698F" w:rsidRPr="00672187" w:rsidRDefault="00BC698F" w:rsidP="0010623C">
            <w:pPr>
              <w:rPr>
                <w:rFonts w:ascii="Verdana" w:hAnsi="Verdana"/>
                <w:b/>
                <w:sz w:val="20"/>
                <w:szCs w:val="20"/>
              </w:rPr>
            </w:pPr>
          </w:p>
        </w:tc>
        <w:tc>
          <w:tcPr>
            <w:tcW w:w="6894" w:type="dxa"/>
          </w:tcPr>
          <w:p w14:paraId="50760E8C" w14:textId="02CFB83E" w:rsidR="00F622FE" w:rsidRPr="0097021D" w:rsidRDefault="0097021D">
            <w:pPr>
              <w:rPr>
                <w:rFonts w:ascii="Verdana" w:hAnsi="Verdana"/>
                <w:sz w:val="20"/>
                <w:szCs w:val="20"/>
              </w:rPr>
            </w:pPr>
            <w:r w:rsidRPr="0097021D">
              <w:rPr>
                <w:rFonts w:ascii="Verdana" w:hAnsi="Verdana"/>
                <w:sz w:val="20"/>
                <w:szCs w:val="20"/>
              </w:rPr>
              <w:t>IT</w:t>
            </w:r>
          </w:p>
        </w:tc>
      </w:tr>
      <w:tr w:rsidR="00F622FE" w:rsidRPr="00672187" w14:paraId="1E133CDD" w14:textId="77777777" w:rsidTr="00672187">
        <w:tc>
          <w:tcPr>
            <w:tcW w:w="2122" w:type="dxa"/>
          </w:tcPr>
          <w:p w14:paraId="426C6CA6" w14:textId="77777777" w:rsidR="00E75504" w:rsidRPr="00672187" w:rsidRDefault="00F622FE" w:rsidP="0010623C">
            <w:pPr>
              <w:rPr>
                <w:rFonts w:ascii="Verdana" w:hAnsi="Verdana"/>
                <w:b/>
                <w:sz w:val="20"/>
                <w:szCs w:val="20"/>
              </w:rPr>
            </w:pPr>
            <w:r w:rsidRPr="00672187">
              <w:rPr>
                <w:rFonts w:ascii="Verdana" w:hAnsi="Verdana"/>
                <w:b/>
                <w:sz w:val="20"/>
                <w:szCs w:val="20"/>
              </w:rPr>
              <w:t>Location</w:t>
            </w:r>
          </w:p>
          <w:p w14:paraId="5490F372" w14:textId="77777777" w:rsidR="00BC698F" w:rsidRPr="00672187" w:rsidRDefault="00BC698F" w:rsidP="0010623C">
            <w:pPr>
              <w:rPr>
                <w:rFonts w:ascii="Verdana" w:hAnsi="Verdana"/>
                <w:b/>
                <w:sz w:val="20"/>
                <w:szCs w:val="20"/>
              </w:rPr>
            </w:pPr>
          </w:p>
        </w:tc>
        <w:tc>
          <w:tcPr>
            <w:tcW w:w="6894" w:type="dxa"/>
          </w:tcPr>
          <w:p w14:paraId="57D83FC5" w14:textId="77777777" w:rsidR="00F622FE" w:rsidRPr="00672187" w:rsidRDefault="00F622FE">
            <w:pPr>
              <w:rPr>
                <w:rFonts w:ascii="Verdana" w:hAnsi="Verdana"/>
                <w:b/>
                <w:sz w:val="20"/>
                <w:szCs w:val="20"/>
              </w:rPr>
            </w:pPr>
            <w:r w:rsidRPr="00672187">
              <w:rPr>
                <w:rFonts w:ascii="Verdana" w:hAnsi="Verdana"/>
                <w:sz w:val="20"/>
                <w:szCs w:val="20"/>
              </w:rPr>
              <w:t>Oriel College, Oriel Square, Oxford OX1 4EW</w:t>
            </w:r>
          </w:p>
        </w:tc>
      </w:tr>
      <w:tr w:rsidR="00F622FE" w:rsidRPr="00672187" w14:paraId="44471C4C" w14:textId="77777777" w:rsidTr="00672187">
        <w:tc>
          <w:tcPr>
            <w:tcW w:w="2122" w:type="dxa"/>
          </w:tcPr>
          <w:p w14:paraId="6312AB05" w14:textId="77777777"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p>
          <w:p w14:paraId="5E37DC9F" w14:textId="77777777" w:rsidR="00BC698F" w:rsidRPr="00672187" w:rsidRDefault="00BC698F" w:rsidP="0010623C">
            <w:pPr>
              <w:rPr>
                <w:rFonts w:ascii="Verdana" w:hAnsi="Verdana"/>
                <w:b/>
                <w:sz w:val="20"/>
                <w:szCs w:val="20"/>
              </w:rPr>
            </w:pPr>
          </w:p>
        </w:tc>
        <w:tc>
          <w:tcPr>
            <w:tcW w:w="6894" w:type="dxa"/>
          </w:tcPr>
          <w:p w14:paraId="201798A1" w14:textId="51EF04FB" w:rsidR="00F622FE" w:rsidRPr="00672187" w:rsidRDefault="0097021D">
            <w:pPr>
              <w:rPr>
                <w:rFonts w:ascii="Verdana" w:hAnsi="Verdana"/>
                <w:sz w:val="20"/>
                <w:szCs w:val="20"/>
                <w:highlight w:val="yellow"/>
              </w:rPr>
            </w:pPr>
            <w:r w:rsidRPr="0097021D">
              <w:rPr>
                <w:rFonts w:ascii="Verdana" w:hAnsi="Verdana"/>
                <w:sz w:val="20"/>
                <w:szCs w:val="20"/>
              </w:rPr>
              <w:t>£46,500 - £49,500 per annum (dependent on experience)</w:t>
            </w:r>
          </w:p>
        </w:tc>
      </w:tr>
      <w:tr w:rsidR="00F622FE" w:rsidRPr="00672187" w14:paraId="3B7FBAAA" w14:textId="77777777" w:rsidTr="00672187">
        <w:tc>
          <w:tcPr>
            <w:tcW w:w="2122" w:type="dxa"/>
          </w:tcPr>
          <w:p w14:paraId="77157835" w14:textId="77777777"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p>
          <w:p w14:paraId="0DB178FA" w14:textId="77777777" w:rsidR="00BC698F" w:rsidRPr="00672187" w:rsidRDefault="00BC698F" w:rsidP="0010623C">
            <w:pPr>
              <w:rPr>
                <w:rFonts w:ascii="Verdana" w:hAnsi="Verdana"/>
                <w:b/>
                <w:sz w:val="20"/>
                <w:szCs w:val="20"/>
              </w:rPr>
            </w:pPr>
          </w:p>
        </w:tc>
        <w:tc>
          <w:tcPr>
            <w:tcW w:w="6894" w:type="dxa"/>
          </w:tcPr>
          <w:p w14:paraId="6C7ABBB3" w14:textId="5BA57277" w:rsidR="00F622FE" w:rsidRPr="0097021D" w:rsidRDefault="0097021D">
            <w:pPr>
              <w:rPr>
                <w:rFonts w:ascii="Verdana" w:hAnsi="Verdana"/>
                <w:bCs/>
                <w:sz w:val="20"/>
                <w:szCs w:val="20"/>
              </w:rPr>
            </w:pPr>
            <w:r w:rsidRPr="0097021D">
              <w:rPr>
                <w:rFonts w:ascii="Verdana" w:hAnsi="Verdana"/>
                <w:bCs/>
                <w:sz w:val="20"/>
                <w:szCs w:val="20"/>
              </w:rPr>
              <w:t>Full-time 36.5 hours per week</w:t>
            </w:r>
          </w:p>
        </w:tc>
      </w:tr>
      <w:tr w:rsidR="00F622FE" w:rsidRPr="00672187" w14:paraId="70CB4613" w14:textId="77777777" w:rsidTr="00672187">
        <w:tc>
          <w:tcPr>
            <w:tcW w:w="2122" w:type="dxa"/>
          </w:tcPr>
          <w:p w14:paraId="2E28D052" w14:textId="77777777" w:rsidR="00E75504" w:rsidRPr="00672187" w:rsidRDefault="00F622FE" w:rsidP="0010623C">
            <w:pPr>
              <w:rPr>
                <w:rFonts w:ascii="Verdana" w:hAnsi="Verdana"/>
                <w:b/>
                <w:sz w:val="20"/>
                <w:szCs w:val="20"/>
              </w:rPr>
            </w:pPr>
            <w:r w:rsidRPr="00672187">
              <w:rPr>
                <w:rFonts w:ascii="Verdana" w:hAnsi="Verdana"/>
                <w:b/>
                <w:sz w:val="20"/>
                <w:szCs w:val="20"/>
              </w:rPr>
              <w:t>Contract type</w:t>
            </w:r>
          </w:p>
          <w:p w14:paraId="6ECC94FB" w14:textId="77777777" w:rsidR="00BC698F" w:rsidRPr="00672187" w:rsidRDefault="00BC698F" w:rsidP="0010623C">
            <w:pPr>
              <w:rPr>
                <w:rFonts w:ascii="Verdana" w:hAnsi="Verdana"/>
                <w:b/>
                <w:sz w:val="20"/>
                <w:szCs w:val="20"/>
              </w:rPr>
            </w:pPr>
          </w:p>
        </w:tc>
        <w:tc>
          <w:tcPr>
            <w:tcW w:w="6894" w:type="dxa"/>
          </w:tcPr>
          <w:p w14:paraId="397C4E0E" w14:textId="75252C79" w:rsidR="00F622FE" w:rsidRPr="00672187" w:rsidRDefault="00F622FE" w:rsidP="00F622FE">
            <w:pPr>
              <w:rPr>
                <w:rFonts w:ascii="Verdana" w:hAnsi="Verdana"/>
                <w:b/>
                <w:sz w:val="20"/>
                <w:szCs w:val="20"/>
              </w:rPr>
            </w:pPr>
            <w:r w:rsidRPr="00672187">
              <w:rPr>
                <w:rFonts w:ascii="Verdana" w:hAnsi="Verdana"/>
                <w:sz w:val="20"/>
                <w:szCs w:val="20"/>
              </w:rPr>
              <w:t>Permanent</w:t>
            </w:r>
          </w:p>
        </w:tc>
      </w:tr>
      <w:tr w:rsidR="00F622FE" w:rsidRPr="00672187" w14:paraId="50E23B2A" w14:textId="77777777" w:rsidTr="00672187">
        <w:tc>
          <w:tcPr>
            <w:tcW w:w="2122" w:type="dxa"/>
          </w:tcPr>
          <w:p w14:paraId="414C42AF" w14:textId="77777777" w:rsidR="00E75504" w:rsidRPr="00672187" w:rsidRDefault="00F622FE" w:rsidP="0010623C">
            <w:pPr>
              <w:rPr>
                <w:rFonts w:ascii="Verdana" w:hAnsi="Verdana"/>
                <w:b/>
                <w:sz w:val="20"/>
                <w:szCs w:val="20"/>
              </w:rPr>
            </w:pPr>
            <w:r w:rsidRPr="00672187">
              <w:rPr>
                <w:rFonts w:ascii="Verdana" w:hAnsi="Verdana"/>
                <w:b/>
                <w:sz w:val="20"/>
                <w:szCs w:val="20"/>
              </w:rPr>
              <w:t>Reporting to</w:t>
            </w:r>
          </w:p>
          <w:p w14:paraId="25A7101D" w14:textId="77777777" w:rsidR="00BC698F" w:rsidRPr="00672187" w:rsidRDefault="00BC698F" w:rsidP="0010623C">
            <w:pPr>
              <w:rPr>
                <w:rFonts w:ascii="Verdana" w:hAnsi="Verdana"/>
                <w:b/>
                <w:sz w:val="20"/>
                <w:szCs w:val="20"/>
              </w:rPr>
            </w:pPr>
          </w:p>
        </w:tc>
        <w:tc>
          <w:tcPr>
            <w:tcW w:w="6894" w:type="dxa"/>
          </w:tcPr>
          <w:p w14:paraId="1521E887" w14:textId="70AB3EBC" w:rsidR="00F622FE" w:rsidRPr="0097021D" w:rsidRDefault="0097021D">
            <w:pPr>
              <w:rPr>
                <w:rFonts w:ascii="Verdana" w:hAnsi="Verdana"/>
                <w:bCs/>
                <w:sz w:val="20"/>
                <w:szCs w:val="20"/>
              </w:rPr>
            </w:pPr>
            <w:r w:rsidRPr="0097021D">
              <w:rPr>
                <w:rFonts w:ascii="Verdana" w:hAnsi="Verdana"/>
                <w:bCs/>
                <w:sz w:val="20"/>
                <w:szCs w:val="20"/>
              </w:rPr>
              <w:t>Head of IT</w:t>
            </w:r>
          </w:p>
        </w:tc>
      </w:tr>
      <w:tr w:rsidR="00F622FE" w:rsidRPr="00672187" w14:paraId="53067D28" w14:textId="77777777" w:rsidTr="00672187">
        <w:tc>
          <w:tcPr>
            <w:tcW w:w="2122" w:type="dxa"/>
          </w:tcPr>
          <w:p w14:paraId="54FA3185" w14:textId="74929D24" w:rsidR="00D12F04" w:rsidRPr="00672187" w:rsidRDefault="00D12F04" w:rsidP="00D12F04">
            <w:pPr>
              <w:rPr>
                <w:rFonts w:ascii="Verdana" w:hAnsi="Verdana"/>
                <w:b/>
                <w:sz w:val="20"/>
                <w:szCs w:val="20"/>
              </w:rPr>
            </w:pPr>
          </w:p>
        </w:tc>
        <w:tc>
          <w:tcPr>
            <w:tcW w:w="6894" w:type="dxa"/>
          </w:tcPr>
          <w:p w14:paraId="1D4AA0C6" w14:textId="77777777" w:rsidR="00F622FE" w:rsidRPr="00672187" w:rsidRDefault="00F622FE">
            <w:pPr>
              <w:rPr>
                <w:rFonts w:ascii="Verdana" w:hAnsi="Verdana"/>
                <w:b/>
                <w:sz w:val="20"/>
                <w:szCs w:val="20"/>
              </w:rPr>
            </w:pPr>
          </w:p>
        </w:tc>
      </w:tr>
    </w:tbl>
    <w:p w14:paraId="3AFC4E55" w14:textId="77777777" w:rsidR="0010623C" w:rsidRPr="00672187" w:rsidRDefault="0010623C">
      <w:pPr>
        <w:rPr>
          <w:rFonts w:ascii="Verdana" w:hAnsi="Verdana"/>
          <w:b/>
          <w:sz w:val="20"/>
          <w:szCs w:val="20"/>
        </w:rPr>
      </w:pPr>
    </w:p>
    <w:p w14:paraId="7C55F4CF" w14:textId="77777777" w:rsidR="00FB32DB" w:rsidRPr="006F6033" w:rsidRDefault="00AC286D">
      <w:pPr>
        <w:rPr>
          <w:rFonts w:ascii="Verdana" w:hAnsi="Verdana"/>
          <w:b/>
          <w:sz w:val="20"/>
          <w:szCs w:val="20"/>
        </w:rPr>
      </w:pPr>
      <w:r w:rsidRPr="006F6033">
        <w:rPr>
          <w:rFonts w:ascii="Verdana" w:hAnsi="Verdana"/>
          <w:b/>
          <w:sz w:val="20"/>
          <w:szCs w:val="20"/>
        </w:rPr>
        <w:t>Overview of the role</w:t>
      </w:r>
    </w:p>
    <w:p w14:paraId="096600FB" w14:textId="2F20EF06" w:rsidR="006F6033" w:rsidRPr="006F6033" w:rsidRDefault="006F6033" w:rsidP="006F6033">
      <w:pPr>
        <w:rPr>
          <w:rFonts w:ascii="Verdana" w:hAnsi="Verdana"/>
          <w:sz w:val="20"/>
          <w:szCs w:val="20"/>
        </w:rPr>
      </w:pPr>
      <w:r w:rsidRPr="006F6033">
        <w:rPr>
          <w:rFonts w:ascii="Verdana" w:hAnsi="Verdana"/>
          <w:sz w:val="20"/>
          <w:szCs w:val="20"/>
        </w:rPr>
        <w:t>The</w:t>
      </w:r>
      <w:r w:rsidRPr="006F6033">
        <w:rPr>
          <w:rFonts w:ascii="Verdana" w:hAnsi="Verdana"/>
          <w:sz w:val="20"/>
          <w:szCs w:val="20"/>
        </w:rPr>
        <w:t xml:space="preserve"> Cybersecurity Manager </w:t>
      </w:r>
      <w:r w:rsidRPr="006F6033">
        <w:rPr>
          <w:rFonts w:ascii="Verdana" w:hAnsi="Verdana"/>
          <w:sz w:val="20"/>
          <w:szCs w:val="20"/>
        </w:rPr>
        <w:t>p</w:t>
      </w:r>
      <w:r w:rsidRPr="006F6033">
        <w:rPr>
          <w:rFonts w:ascii="Verdana" w:hAnsi="Verdana"/>
          <w:sz w:val="20"/>
          <w:szCs w:val="20"/>
        </w:rPr>
        <w:t>lay</w:t>
      </w:r>
      <w:r w:rsidRPr="006F6033">
        <w:rPr>
          <w:rFonts w:ascii="Verdana" w:hAnsi="Verdana"/>
          <w:sz w:val="20"/>
          <w:szCs w:val="20"/>
        </w:rPr>
        <w:t>s</w:t>
      </w:r>
      <w:r w:rsidRPr="006F6033">
        <w:rPr>
          <w:rFonts w:ascii="Verdana" w:hAnsi="Verdana"/>
          <w:sz w:val="20"/>
          <w:szCs w:val="20"/>
        </w:rPr>
        <w:t xml:space="preserve"> a vital role in supporting the Head of IT and the wider IT team in maintaining and continuously enhancing the digital security </w:t>
      </w:r>
      <w:r w:rsidRPr="006F6033">
        <w:rPr>
          <w:rFonts w:ascii="Verdana" w:hAnsi="Verdana"/>
          <w:sz w:val="20"/>
          <w:szCs w:val="20"/>
        </w:rPr>
        <w:t xml:space="preserve">working across </w:t>
      </w:r>
      <w:r w:rsidRPr="006F6033">
        <w:rPr>
          <w:rFonts w:ascii="Verdana" w:hAnsi="Verdana"/>
          <w:sz w:val="20"/>
          <w:szCs w:val="20"/>
        </w:rPr>
        <w:t>Oriel and Corpus Christi Colleges. Reporting to the Head of IT, you will help ensure that all systems remain secure, resilient, and compliant, while also identifying opportunities to strengthen protections across the Colleges’ digital services.</w:t>
      </w:r>
    </w:p>
    <w:p w14:paraId="294061E5" w14:textId="55957E23" w:rsidR="006F6033" w:rsidRPr="006F6033" w:rsidRDefault="006F6033" w:rsidP="006F6033">
      <w:pPr>
        <w:rPr>
          <w:rFonts w:ascii="Verdana" w:hAnsi="Verdana"/>
          <w:sz w:val="20"/>
          <w:szCs w:val="20"/>
        </w:rPr>
      </w:pPr>
      <w:r w:rsidRPr="006F6033">
        <w:rPr>
          <w:rFonts w:ascii="Verdana" w:hAnsi="Verdana"/>
          <w:sz w:val="20"/>
          <w:szCs w:val="20"/>
        </w:rPr>
        <w:t xml:space="preserve">The postholder is </w:t>
      </w:r>
      <w:r w:rsidRPr="006F6033">
        <w:rPr>
          <w:rFonts w:ascii="Verdana" w:hAnsi="Verdana"/>
          <w:sz w:val="20"/>
          <w:szCs w:val="20"/>
        </w:rPr>
        <w:t>responsible for applying security best practices, monitoring emerging threats and vulnerabilities, and coordinating incident response efforts. In addition, expert input on risk management, policy development, and future cybersecurity investments</w:t>
      </w:r>
      <w:r w:rsidRPr="006F6033">
        <w:rPr>
          <w:rFonts w:ascii="Verdana" w:hAnsi="Verdana"/>
          <w:sz w:val="20"/>
          <w:szCs w:val="20"/>
        </w:rPr>
        <w:t xml:space="preserve"> will be required to </w:t>
      </w:r>
      <w:r w:rsidRPr="006F6033">
        <w:rPr>
          <w:rFonts w:ascii="Verdana" w:hAnsi="Verdana"/>
          <w:sz w:val="20"/>
          <w:szCs w:val="20"/>
        </w:rPr>
        <w:t>help the Colleges remain secure in an ever-evolving threat landscape.</w:t>
      </w:r>
    </w:p>
    <w:p w14:paraId="200BEDB0" w14:textId="77777777" w:rsidR="00B5163F" w:rsidRPr="006F6033" w:rsidRDefault="00B5163F">
      <w:pPr>
        <w:rPr>
          <w:rFonts w:ascii="Verdana" w:hAnsi="Verdana"/>
          <w:b/>
          <w:sz w:val="20"/>
          <w:szCs w:val="20"/>
        </w:rPr>
      </w:pPr>
    </w:p>
    <w:p w14:paraId="04AA30D7" w14:textId="77777777" w:rsidR="00166986" w:rsidRPr="006F6033" w:rsidRDefault="00166986">
      <w:pPr>
        <w:rPr>
          <w:rFonts w:ascii="Verdana" w:hAnsi="Verdana"/>
          <w:b/>
          <w:sz w:val="20"/>
          <w:szCs w:val="20"/>
        </w:rPr>
      </w:pPr>
      <w:r w:rsidRPr="006F6033">
        <w:rPr>
          <w:rFonts w:ascii="Verdana" w:hAnsi="Verdana"/>
          <w:b/>
          <w:sz w:val="20"/>
          <w:szCs w:val="20"/>
        </w:rPr>
        <w:t>Responsibilities</w:t>
      </w:r>
    </w:p>
    <w:p w14:paraId="5C08AFF7"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Vulnerability Assessment &amp; Penetration Testing</w:t>
      </w:r>
      <w:r w:rsidRPr="006F6033">
        <w:rPr>
          <w:rFonts w:ascii="Verdana" w:hAnsi="Verdana"/>
          <w:sz w:val="20"/>
          <w:szCs w:val="20"/>
        </w:rPr>
        <w:br/>
        <w:t>Conduct regular vulnerability assessments using tools such as Nessus and OpenVAS. Remediate vulnerabilities in alignment with frameworks like CIS and NIST.</w:t>
      </w:r>
    </w:p>
    <w:p w14:paraId="54538B2B"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Continuous Improvement</w:t>
      </w:r>
      <w:r w:rsidRPr="006F6033">
        <w:rPr>
          <w:rFonts w:ascii="Verdana" w:hAnsi="Verdana"/>
          <w:sz w:val="20"/>
          <w:szCs w:val="20"/>
        </w:rPr>
        <w:br/>
        <w:t>Proactively identify opportunities to enhance the Colleges' security framework and ensure compliance with emerging trends and regulations.</w:t>
      </w:r>
    </w:p>
    <w:p w14:paraId="240ED4CD"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Automation &amp; Process Improvement</w:t>
      </w:r>
      <w:r w:rsidRPr="006F6033">
        <w:rPr>
          <w:rFonts w:ascii="Verdana" w:hAnsi="Verdana"/>
          <w:sz w:val="20"/>
          <w:szCs w:val="20"/>
        </w:rPr>
        <w:br/>
        <w:t>Optimize and automate security workflows to improve operational efficiency within the IT team and across departments.</w:t>
      </w:r>
    </w:p>
    <w:p w14:paraId="680690B1"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lastRenderedPageBreak/>
        <w:t>Collaboration &amp; Coordination</w:t>
      </w:r>
      <w:r w:rsidRPr="006F6033">
        <w:rPr>
          <w:rFonts w:ascii="Verdana" w:hAnsi="Verdana"/>
          <w:sz w:val="20"/>
          <w:szCs w:val="20"/>
        </w:rPr>
        <w:br/>
        <w:t>Work closely with external contractors to maintain consistent security protocols across servers, databases, endpoints, and networks. Ensure third-party vendors adhere to the Colleges' security standards.</w:t>
      </w:r>
    </w:p>
    <w:p w14:paraId="5EE9B66F"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Compliance &amp; Regulatory Alignment</w:t>
      </w:r>
      <w:r w:rsidRPr="006F6033">
        <w:rPr>
          <w:rFonts w:ascii="Verdana" w:hAnsi="Verdana"/>
          <w:sz w:val="20"/>
          <w:szCs w:val="20"/>
        </w:rPr>
        <w:br/>
        <w:t>Support the Head of IT in aligning cybersecurity strategies with regulations such as the Data Protection Act 2018, ISO/IEC 27001, and GDPR.</w:t>
      </w:r>
    </w:p>
    <w:p w14:paraId="47089BE3"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Risk Management &amp; Business Continuity</w:t>
      </w:r>
      <w:r w:rsidRPr="006F6033">
        <w:rPr>
          <w:rFonts w:ascii="Verdana" w:hAnsi="Verdana"/>
          <w:sz w:val="20"/>
          <w:szCs w:val="20"/>
        </w:rPr>
        <w:br/>
        <w:t>Develop comprehensive IT risk assessments and contribute to disaster recovery and business continuity planning, following ISO 27001 guidelines and academic best practices.</w:t>
      </w:r>
    </w:p>
    <w:p w14:paraId="30512BF5"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Incident Response &amp; Threat Management</w:t>
      </w:r>
      <w:r w:rsidRPr="006F6033">
        <w:rPr>
          <w:rFonts w:ascii="Verdana" w:hAnsi="Verdana"/>
          <w:sz w:val="20"/>
          <w:szCs w:val="20"/>
        </w:rPr>
        <w:br/>
        <w:t>Monitor, analyse, and respond to security incidents using advanced tools. Lead mitigation strategies to reduce the impact of breaches.</w:t>
      </w:r>
    </w:p>
    <w:p w14:paraId="35101D56" w14:textId="77777777" w:rsidR="006F6033" w:rsidRPr="006F6033" w:rsidRDefault="006F6033" w:rsidP="006F6033">
      <w:pPr>
        <w:numPr>
          <w:ilvl w:val="0"/>
          <w:numId w:val="11"/>
        </w:numPr>
        <w:spacing w:line="278" w:lineRule="auto"/>
        <w:rPr>
          <w:rFonts w:ascii="Verdana" w:hAnsi="Verdana"/>
          <w:sz w:val="20"/>
          <w:szCs w:val="20"/>
        </w:rPr>
      </w:pPr>
      <w:r w:rsidRPr="006F6033">
        <w:rPr>
          <w:rFonts w:ascii="Verdana" w:hAnsi="Verdana"/>
          <w:b/>
          <w:bCs/>
          <w:sz w:val="20"/>
          <w:szCs w:val="20"/>
        </w:rPr>
        <w:t>Policy &amp; Procedure Development</w:t>
      </w:r>
      <w:r w:rsidRPr="006F6033">
        <w:rPr>
          <w:rFonts w:ascii="Verdana" w:hAnsi="Verdana"/>
          <w:sz w:val="20"/>
          <w:szCs w:val="20"/>
        </w:rPr>
        <w:br/>
        <w:t>Help develop and maintain robust IT security policies that protect the Colleges’ digital systems, services, and data.</w:t>
      </w:r>
    </w:p>
    <w:p w14:paraId="418C15A6" w14:textId="77777777" w:rsidR="006855F2" w:rsidRPr="006F6033" w:rsidRDefault="006855F2">
      <w:pPr>
        <w:rPr>
          <w:rFonts w:ascii="Verdana" w:hAnsi="Verdana"/>
          <w:b/>
          <w:sz w:val="20"/>
          <w:szCs w:val="20"/>
        </w:rPr>
      </w:pPr>
    </w:p>
    <w:p w14:paraId="362765A2" w14:textId="77777777" w:rsidR="0010623C" w:rsidRPr="006F6033" w:rsidRDefault="00166986">
      <w:pPr>
        <w:rPr>
          <w:rFonts w:ascii="Verdana" w:hAnsi="Verdana"/>
          <w:b/>
          <w:sz w:val="20"/>
          <w:szCs w:val="20"/>
        </w:rPr>
      </w:pPr>
      <w:r w:rsidRPr="006F6033">
        <w:rPr>
          <w:rFonts w:ascii="Verdana" w:hAnsi="Verdana"/>
          <w:b/>
          <w:sz w:val="20"/>
          <w:szCs w:val="20"/>
        </w:rPr>
        <w:t xml:space="preserve">Selection </w:t>
      </w:r>
      <w:r w:rsidR="00FB32DB" w:rsidRPr="006F6033">
        <w:rPr>
          <w:rFonts w:ascii="Verdana" w:hAnsi="Verdana"/>
          <w:b/>
          <w:sz w:val="20"/>
          <w:szCs w:val="20"/>
        </w:rPr>
        <w:t>c</w:t>
      </w:r>
      <w:r w:rsidRPr="006F6033">
        <w:rPr>
          <w:rFonts w:ascii="Verdana" w:hAnsi="Verdana"/>
          <w:b/>
          <w:sz w:val="20"/>
          <w:szCs w:val="20"/>
        </w:rPr>
        <w:t>riteria</w:t>
      </w:r>
    </w:p>
    <w:p w14:paraId="73D25BE2"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Interest &amp; Motivation</w:t>
      </w:r>
      <w:r w:rsidRPr="006F6033">
        <w:rPr>
          <w:rFonts w:ascii="Verdana" w:hAnsi="Verdana"/>
          <w:sz w:val="20"/>
          <w:szCs w:val="20"/>
        </w:rPr>
        <w:br/>
        <w:t>A strong passion for cybersecurity and a commitment to continuous learning in evolving threat landscapes.</w:t>
      </w:r>
    </w:p>
    <w:p w14:paraId="681BDF37"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Experience &amp; Technical Skills</w:t>
      </w:r>
      <w:r w:rsidRPr="006F6033">
        <w:rPr>
          <w:rFonts w:ascii="Verdana" w:hAnsi="Verdana"/>
          <w:sz w:val="20"/>
          <w:szCs w:val="20"/>
        </w:rPr>
        <w:br/>
        <w:t>Hands-on experience with vulnerability scanners, endpoint protection, syslog processing, and familiarity with SIEM platforms, advanced network security devices, and both Windows and Linux system administration.</w:t>
      </w:r>
    </w:p>
    <w:p w14:paraId="104F3366"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Knowledge &amp; Expertise</w:t>
      </w:r>
      <w:r w:rsidRPr="006F6033">
        <w:rPr>
          <w:rFonts w:ascii="Verdana" w:hAnsi="Verdana"/>
          <w:sz w:val="20"/>
          <w:szCs w:val="20"/>
        </w:rPr>
        <w:br/>
        <w:t>Solid understanding of security technologies such as firewalls, VPNs, IDS/IPS, SIEM systems, and endpoint protection. Familiarity with identity management and cloud security tools in environments like Azure or AWS is advantageous.</w:t>
      </w:r>
    </w:p>
    <w:p w14:paraId="4973918B"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Scripting &amp; Automation</w:t>
      </w:r>
      <w:r w:rsidRPr="006F6033">
        <w:rPr>
          <w:rFonts w:ascii="Verdana" w:hAnsi="Verdana"/>
          <w:sz w:val="20"/>
          <w:szCs w:val="20"/>
        </w:rPr>
        <w:br/>
        <w:t>Proficiency in scripting (Bash, Python, or PowerShell), networking (IPv4, IPv6), and a solid grasp of the OSI model to support automation and security optimization.</w:t>
      </w:r>
    </w:p>
    <w:p w14:paraId="71A351E4"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Compliance Experience</w:t>
      </w:r>
      <w:r w:rsidRPr="006F6033">
        <w:rPr>
          <w:rFonts w:ascii="Verdana" w:hAnsi="Verdana"/>
          <w:sz w:val="20"/>
          <w:szCs w:val="20"/>
        </w:rPr>
        <w:br/>
        <w:t>Proven ability to ensure compliance with GDPR, PCI-DSS, and ISO standards, and to manage security threats and assessments effectively.</w:t>
      </w:r>
    </w:p>
    <w:p w14:paraId="21899436" w14:textId="77777777" w:rsidR="006F6033" w:rsidRPr="006F6033" w:rsidRDefault="006F6033" w:rsidP="006F6033">
      <w:pPr>
        <w:numPr>
          <w:ilvl w:val="0"/>
          <w:numId w:val="12"/>
        </w:numPr>
        <w:spacing w:line="278" w:lineRule="auto"/>
        <w:rPr>
          <w:rFonts w:ascii="Verdana" w:hAnsi="Verdana"/>
          <w:sz w:val="20"/>
          <w:szCs w:val="20"/>
        </w:rPr>
      </w:pPr>
      <w:r w:rsidRPr="006F6033">
        <w:rPr>
          <w:rFonts w:ascii="Verdana" w:hAnsi="Verdana"/>
          <w:b/>
          <w:bCs/>
          <w:sz w:val="20"/>
          <w:szCs w:val="20"/>
        </w:rPr>
        <w:t>Communication Skills</w:t>
      </w:r>
      <w:r w:rsidRPr="006F6033">
        <w:rPr>
          <w:rFonts w:ascii="Verdana" w:hAnsi="Verdana"/>
          <w:sz w:val="20"/>
          <w:szCs w:val="20"/>
        </w:rPr>
        <w:br/>
        <w:t>Excellent written and verbal communication, with the ability to convey complex security concepts to both technical and non-technical stakeholders.</w:t>
      </w:r>
    </w:p>
    <w:p w14:paraId="2B02775E" w14:textId="77777777" w:rsidR="006F6033" w:rsidRDefault="006F6033" w:rsidP="006F6033">
      <w:pPr>
        <w:rPr>
          <w:rFonts w:ascii="Verdana" w:hAnsi="Verdana"/>
          <w:b/>
          <w:bCs/>
          <w:sz w:val="20"/>
          <w:szCs w:val="20"/>
        </w:rPr>
      </w:pPr>
    </w:p>
    <w:p w14:paraId="4E3BCBE1" w14:textId="6300A68E" w:rsidR="006F6033" w:rsidRPr="006F6033" w:rsidRDefault="006F6033" w:rsidP="006F6033">
      <w:pPr>
        <w:rPr>
          <w:rFonts w:ascii="Verdana" w:hAnsi="Verdana"/>
          <w:sz w:val="20"/>
          <w:szCs w:val="20"/>
        </w:rPr>
      </w:pPr>
      <w:r w:rsidRPr="006F6033">
        <w:rPr>
          <w:rFonts w:ascii="Verdana" w:hAnsi="Verdana"/>
          <w:b/>
          <w:bCs/>
          <w:sz w:val="20"/>
          <w:szCs w:val="20"/>
        </w:rPr>
        <w:lastRenderedPageBreak/>
        <w:t>Qualifications</w:t>
      </w:r>
    </w:p>
    <w:p w14:paraId="67094F60" w14:textId="77777777" w:rsidR="006F6033" w:rsidRPr="006F6033" w:rsidRDefault="006F6033" w:rsidP="006F6033">
      <w:pPr>
        <w:numPr>
          <w:ilvl w:val="0"/>
          <w:numId w:val="13"/>
        </w:numPr>
        <w:spacing w:line="278" w:lineRule="auto"/>
        <w:rPr>
          <w:rFonts w:ascii="Verdana" w:hAnsi="Verdana"/>
          <w:sz w:val="20"/>
          <w:szCs w:val="20"/>
        </w:rPr>
      </w:pPr>
      <w:r w:rsidRPr="006F6033">
        <w:rPr>
          <w:rFonts w:ascii="Verdana" w:hAnsi="Verdana"/>
          <w:b/>
          <w:bCs/>
          <w:sz w:val="20"/>
          <w:szCs w:val="20"/>
        </w:rPr>
        <w:t>Education</w:t>
      </w:r>
      <w:r w:rsidRPr="006F6033">
        <w:rPr>
          <w:rFonts w:ascii="Verdana" w:hAnsi="Verdana"/>
          <w:sz w:val="20"/>
          <w:szCs w:val="20"/>
        </w:rPr>
        <w:br/>
        <w:t>A degree in Computer Science, Information Technology, Cybersecurity, or a closely related field. Equivalent professional experience may also be considered.</w:t>
      </w:r>
    </w:p>
    <w:p w14:paraId="6B371181" w14:textId="77777777" w:rsidR="006F6033" w:rsidRPr="006F6033" w:rsidRDefault="006F6033" w:rsidP="006F6033">
      <w:pPr>
        <w:numPr>
          <w:ilvl w:val="0"/>
          <w:numId w:val="13"/>
        </w:numPr>
        <w:spacing w:line="278" w:lineRule="auto"/>
        <w:rPr>
          <w:rFonts w:ascii="Verdana" w:hAnsi="Verdana"/>
          <w:b/>
          <w:bCs/>
          <w:sz w:val="20"/>
          <w:szCs w:val="20"/>
        </w:rPr>
      </w:pPr>
      <w:r w:rsidRPr="006F6033">
        <w:rPr>
          <w:rFonts w:ascii="Verdana" w:hAnsi="Verdana"/>
          <w:b/>
          <w:bCs/>
          <w:sz w:val="20"/>
          <w:szCs w:val="20"/>
        </w:rPr>
        <w:t>Certifications (Preferred)</w:t>
      </w:r>
    </w:p>
    <w:p w14:paraId="3AA776D4" w14:textId="77777777" w:rsidR="006F6033" w:rsidRPr="006F6033" w:rsidRDefault="006F6033" w:rsidP="006F6033">
      <w:pPr>
        <w:numPr>
          <w:ilvl w:val="1"/>
          <w:numId w:val="13"/>
        </w:numPr>
        <w:spacing w:line="278" w:lineRule="auto"/>
        <w:rPr>
          <w:rFonts w:ascii="Verdana" w:hAnsi="Verdana"/>
          <w:sz w:val="20"/>
          <w:szCs w:val="20"/>
        </w:rPr>
      </w:pPr>
      <w:r w:rsidRPr="006F6033">
        <w:rPr>
          <w:rFonts w:ascii="Verdana" w:hAnsi="Verdana"/>
          <w:sz w:val="20"/>
          <w:szCs w:val="20"/>
        </w:rPr>
        <w:t>CISSP, CISM, or CISA (preferred)</w:t>
      </w:r>
    </w:p>
    <w:p w14:paraId="45866B52" w14:textId="77777777" w:rsidR="006F6033" w:rsidRPr="006F6033" w:rsidRDefault="006F6033" w:rsidP="006F6033">
      <w:pPr>
        <w:numPr>
          <w:ilvl w:val="1"/>
          <w:numId w:val="13"/>
        </w:numPr>
        <w:spacing w:line="278" w:lineRule="auto"/>
        <w:rPr>
          <w:rFonts w:ascii="Verdana" w:hAnsi="Verdana"/>
          <w:sz w:val="20"/>
          <w:szCs w:val="20"/>
        </w:rPr>
      </w:pPr>
      <w:r w:rsidRPr="006F6033">
        <w:rPr>
          <w:rFonts w:ascii="Verdana" w:hAnsi="Verdana"/>
          <w:sz w:val="20"/>
          <w:szCs w:val="20"/>
        </w:rPr>
        <w:t xml:space="preserve">CompTIA Security+, Network+, or </w:t>
      </w:r>
      <w:proofErr w:type="spellStart"/>
      <w:r w:rsidRPr="006F6033">
        <w:rPr>
          <w:rFonts w:ascii="Verdana" w:hAnsi="Verdana"/>
          <w:sz w:val="20"/>
          <w:szCs w:val="20"/>
        </w:rPr>
        <w:t>CySA</w:t>
      </w:r>
      <w:proofErr w:type="spellEnd"/>
      <w:r w:rsidRPr="006F6033">
        <w:rPr>
          <w:rFonts w:ascii="Verdana" w:hAnsi="Verdana"/>
          <w:sz w:val="20"/>
          <w:szCs w:val="20"/>
        </w:rPr>
        <w:t>+ (also considered)</w:t>
      </w:r>
    </w:p>
    <w:p w14:paraId="50D00D7E" w14:textId="77777777" w:rsidR="006F6033" w:rsidRPr="006F6033" w:rsidRDefault="006F6033" w:rsidP="006F6033">
      <w:pPr>
        <w:numPr>
          <w:ilvl w:val="0"/>
          <w:numId w:val="13"/>
        </w:numPr>
        <w:spacing w:line="278" w:lineRule="auto"/>
        <w:rPr>
          <w:rFonts w:ascii="Verdana" w:hAnsi="Verdana"/>
          <w:sz w:val="20"/>
          <w:szCs w:val="20"/>
        </w:rPr>
      </w:pPr>
      <w:r w:rsidRPr="006F6033">
        <w:rPr>
          <w:rFonts w:ascii="Verdana" w:hAnsi="Verdana"/>
          <w:b/>
          <w:bCs/>
          <w:sz w:val="20"/>
          <w:szCs w:val="20"/>
        </w:rPr>
        <w:t>Personal Attributes</w:t>
      </w:r>
      <w:r w:rsidRPr="006F6033">
        <w:rPr>
          <w:rFonts w:ascii="Verdana" w:hAnsi="Verdana"/>
          <w:sz w:val="20"/>
          <w:szCs w:val="20"/>
        </w:rPr>
        <w:br/>
        <w:t>High level of integrity and discretion when handling sensitive information. Strong judgment, professionalism, and maturity in decision-making.</w:t>
      </w:r>
    </w:p>
    <w:p w14:paraId="71F4415E" w14:textId="77777777" w:rsidR="006F6033" w:rsidRPr="006F6033" w:rsidRDefault="006F6033" w:rsidP="00B5163F">
      <w:pPr>
        <w:rPr>
          <w:rFonts w:ascii="Verdana" w:hAnsi="Verdana"/>
          <w:b/>
          <w:sz w:val="20"/>
          <w:szCs w:val="20"/>
        </w:rPr>
      </w:pPr>
    </w:p>
    <w:p w14:paraId="1CFEA061" w14:textId="0C27E7CC" w:rsidR="00B5163F" w:rsidRPr="006F6033" w:rsidRDefault="00B5163F" w:rsidP="00B5163F">
      <w:pPr>
        <w:rPr>
          <w:rFonts w:ascii="Verdana" w:hAnsi="Verdana"/>
          <w:b/>
          <w:sz w:val="20"/>
          <w:szCs w:val="20"/>
        </w:rPr>
      </w:pPr>
      <w:r w:rsidRPr="006F6033">
        <w:rPr>
          <w:rFonts w:ascii="Verdana" w:hAnsi="Verdana"/>
          <w:b/>
          <w:sz w:val="20"/>
          <w:szCs w:val="20"/>
        </w:rPr>
        <w:t>About Oriel</w:t>
      </w:r>
    </w:p>
    <w:p w14:paraId="6F5B58BE" w14:textId="7E8F2D7E" w:rsidR="00B5163F" w:rsidRPr="006F6033" w:rsidRDefault="00B5163F" w:rsidP="00B5163F">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Oriel College is the 5</w:t>
      </w:r>
      <w:r w:rsidRPr="006F6033">
        <w:rPr>
          <w:rFonts w:ascii="Verdana" w:hAnsi="Verdana" w:cstheme="minorHAnsi"/>
          <w:sz w:val="20"/>
          <w:szCs w:val="20"/>
          <w:vertAlign w:val="superscript"/>
        </w:rPr>
        <w:t>th</w:t>
      </w:r>
      <w:r w:rsidRPr="006F6033">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F6033">
        <w:rPr>
          <w:rFonts w:ascii="Verdana" w:hAnsi="Verdana" w:cstheme="minorHAnsi"/>
          <w:sz w:val="20"/>
          <w:szCs w:val="20"/>
          <w:vertAlign w:val="superscript"/>
        </w:rPr>
        <w:t>th</w:t>
      </w:r>
      <w:r w:rsidRPr="006F6033">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F6033" w:rsidRDefault="00B5163F" w:rsidP="00B5163F">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F6033" w:rsidRDefault="003E189C" w:rsidP="00E93FAD">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For more information</w:t>
      </w:r>
      <w:r w:rsidR="00E24EAA" w:rsidRPr="006F6033">
        <w:rPr>
          <w:rFonts w:ascii="Verdana" w:hAnsi="Verdana" w:cstheme="minorHAnsi"/>
          <w:sz w:val="20"/>
          <w:szCs w:val="20"/>
        </w:rPr>
        <w:t xml:space="preserve"> about Oriel College</w:t>
      </w:r>
      <w:r w:rsidRPr="006F6033">
        <w:rPr>
          <w:rFonts w:ascii="Verdana" w:hAnsi="Verdana" w:cstheme="minorHAnsi"/>
          <w:sz w:val="20"/>
          <w:szCs w:val="20"/>
        </w:rPr>
        <w:t>, please visit</w:t>
      </w:r>
      <w:r w:rsidR="00B5163F" w:rsidRPr="006F6033">
        <w:rPr>
          <w:rFonts w:ascii="Verdana" w:hAnsi="Verdana" w:cstheme="minorHAnsi"/>
          <w:sz w:val="20"/>
          <w:szCs w:val="20"/>
        </w:rPr>
        <w:t xml:space="preserve"> </w:t>
      </w:r>
      <w:hyperlink r:id="rId8" w:history="1">
        <w:r w:rsidR="00B5163F" w:rsidRPr="006F6033">
          <w:rPr>
            <w:rStyle w:val="Hyperlink"/>
            <w:rFonts w:ascii="Verdana" w:hAnsi="Verdana" w:cstheme="minorHAnsi"/>
            <w:sz w:val="20"/>
            <w:szCs w:val="20"/>
          </w:rPr>
          <w:t>https://www.oriel.ox.ac.uk/</w:t>
        </w:r>
      </w:hyperlink>
      <w:r w:rsidR="00B5163F" w:rsidRPr="006F6033">
        <w:rPr>
          <w:rFonts w:ascii="Verdana" w:hAnsi="Verdana" w:cstheme="minorHAnsi"/>
          <w:sz w:val="20"/>
          <w:szCs w:val="20"/>
        </w:rPr>
        <w:t xml:space="preserve"> </w:t>
      </w:r>
    </w:p>
    <w:p w14:paraId="7592746E" w14:textId="77777777" w:rsidR="009676A0" w:rsidRPr="006F6033" w:rsidRDefault="009676A0">
      <w:pPr>
        <w:rPr>
          <w:rFonts w:ascii="Verdana" w:hAnsi="Verdana"/>
          <w:b/>
          <w:sz w:val="20"/>
          <w:szCs w:val="20"/>
        </w:rPr>
      </w:pPr>
      <w:r w:rsidRPr="006F6033">
        <w:rPr>
          <w:rFonts w:ascii="Verdana" w:hAnsi="Verdana"/>
          <w:b/>
          <w:sz w:val="20"/>
          <w:szCs w:val="20"/>
        </w:rPr>
        <w:t>Pre-Employment Screening</w:t>
      </w:r>
    </w:p>
    <w:p w14:paraId="0E89A496" w14:textId="77777777" w:rsidR="009676A0" w:rsidRPr="006F6033" w:rsidRDefault="009676A0">
      <w:pPr>
        <w:rPr>
          <w:rFonts w:ascii="Verdana" w:hAnsi="Verdana"/>
          <w:sz w:val="20"/>
          <w:szCs w:val="20"/>
        </w:rPr>
      </w:pPr>
      <w:r w:rsidRPr="006F6033">
        <w:rPr>
          <w:rFonts w:ascii="Verdana" w:hAnsi="Verdana"/>
          <w:sz w:val="20"/>
          <w:szCs w:val="20"/>
        </w:rPr>
        <w:t xml:space="preserve">All appointments are subject to </w:t>
      </w:r>
      <w:r w:rsidRPr="006F6033">
        <w:rPr>
          <w:rFonts w:ascii="Verdana" w:hAnsi="Verdana" w:cs="Calibri"/>
          <w:sz w:val="20"/>
          <w:szCs w:val="20"/>
        </w:rPr>
        <w:t xml:space="preserve">proof of the candidate’s legal right to work in the UK and </w:t>
      </w:r>
      <w:r w:rsidRPr="006F6033">
        <w:rPr>
          <w:rFonts w:ascii="Verdana" w:hAnsi="Verdana"/>
          <w:sz w:val="20"/>
          <w:szCs w:val="20"/>
        </w:rPr>
        <w:t>receipt of satisfactory reference</w:t>
      </w:r>
      <w:r w:rsidR="00BC698F" w:rsidRPr="006F6033">
        <w:rPr>
          <w:rFonts w:ascii="Verdana" w:hAnsi="Verdana"/>
          <w:sz w:val="20"/>
          <w:szCs w:val="20"/>
        </w:rPr>
        <w:t>s</w:t>
      </w:r>
      <w:r w:rsidRPr="006F6033">
        <w:rPr>
          <w:rFonts w:ascii="Verdana" w:hAnsi="Verdana"/>
          <w:sz w:val="20"/>
          <w:szCs w:val="20"/>
        </w:rPr>
        <w:t xml:space="preserve">. </w:t>
      </w:r>
    </w:p>
    <w:p w14:paraId="517BD573" w14:textId="77777777" w:rsidR="00A21660" w:rsidRPr="006F6033" w:rsidRDefault="00EA3748">
      <w:pPr>
        <w:rPr>
          <w:rFonts w:ascii="Verdana" w:hAnsi="Verdana"/>
          <w:sz w:val="20"/>
          <w:szCs w:val="20"/>
        </w:rPr>
      </w:pPr>
      <w:r w:rsidRPr="006F6033">
        <w:rPr>
          <w:rFonts w:ascii="Verdana" w:hAnsi="Verdana"/>
          <w:sz w:val="20"/>
          <w:szCs w:val="20"/>
        </w:rPr>
        <w:t>You will also be asked to complete a health declaration so that you can tell us about any health conditions or disabilities for which you may need us to make appropriate adjustments.</w:t>
      </w:r>
    </w:p>
    <w:p w14:paraId="3DBF7C2A" w14:textId="77777777" w:rsidR="00E93FAD" w:rsidRPr="006F6033" w:rsidRDefault="00E93FAD">
      <w:pPr>
        <w:rPr>
          <w:rFonts w:ascii="Verdana" w:hAnsi="Verdana"/>
          <w:b/>
          <w:sz w:val="20"/>
          <w:szCs w:val="20"/>
        </w:rPr>
      </w:pPr>
      <w:r w:rsidRPr="006F6033">
        <w:rPr>
          <w:rFonts w:ascii="Verdana" w:hAnsi="Verdana"/>
          <w:b/>
          <w:sz w:val="20"/>
          <w:szCs w:val="20"/>
        </w:rPr>
        <w:t>Data Protection</w:t>
      </w:r>
    </w:p>
    <w:p w14:paraId="760B3A29" w14:textId="77777777" w:rsidR="00203406" w:rsidRPr="006F6033" w:rsidRDefault="00E93FAD" w:rsidP="00FD765B">
      <w:pPr>
        <w:rPr>
          <w:rFonts w:ascii="Verdana" w:hAnsi="Verdana"/>
          <w:sz w:val="20"/>
          <w:szCs w:val="20"/>
        </w:rPr>
      </w:pPr>
      <w:r w:rsidRPr="006F6033">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Default="00CC61F2" w:rsidP="00FD765B">
      <w:pPr>
        <w:rPr>
          <w:rFonts w:ascii="Verdana" w:hAnsi="Verdana"/>
          <w:b/>
          <w:sz w:val="20"/>
          <w:szCs w:val="20"/>
        </w:rPr>
      </w:pPr>
    </w:p>
    <w:p w14:paraId="7AF34DE8" w14:textId="77777777" w:rsidR="006F6033" w:rsidRPr="006F6033" w:rsidRDefault="006F6033" w:rsidP="00FD765B">
      <w:pPr>
        <w:rPr>
          <w:rFonts w:ascii="Verdana" w:hAnsi="Verdana"/>
          <w:b/>
          <w:sz w:val="20"/>
          <w:szCs w:val="20"/>
        </w:rPr>
      </w:pPr>
    </w:p>
    <w:p w14:paraId="05CC9B5A" w14:textId="77777777" w:rsidR="00FD765B" w:rsidRPr="006F6033" w:rsidRDefault="00FD765B" w:rsidP="00FD765B">
      <w:pPr>
        <w:rPr>
          <w:rFonts w:ascii="Verdana" w:hAnsi="Verdana" w:cstheme="minorHAnsi"/>
          <w:sz w:val="20"/>
          <w:szCs w:val="20"/>
        </w:rPr>
      </w:pPr>
      <w:r w:rsidRPr="006F6033">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F6033">
        <w:rPr>
          <w:rFonts w:ascii="Verdana" w:hAnsi="Verdana" w:cstheme="minorHAnsi"/>
          <w:sz w:val="20"/>
          <w:szCs w:val="20"/>
        </w:rPr>
        <w:t xml:space="preserve"> </w:t>
      </w:r>
    </w:p>
    <w:p w14:paraId="20DE7290" w14:textId="77777777" w:rsidR="006F6033" w:rsidRDefault="006F6033" w:rsidP="00211381">
      <w:pPr>
        <w:spacing w:before="26" w:line="227" w:lineRule="exact"/>
        <w:textAlignment w:val="baseline"/>
        <w:rPr>
          <w:rFonts w:ascii="Verdana" w:eastAsia="Calibri" w:hAnsi="Verdana" w:cstheme="minorHAnsi"/>
          <w:b/>
          <w:color w:val="000000"/>
          <w:spacing w:val="-1"/>
          <w:sz w:val="20"/>
          <w:szCs w:val="20"/>
        </w:rPr>
      </w:pPr>
    </w:p>
    <w:p w14:paraId="27A379E5" w14:textId="77777777" w:rsidR="006F6033" w:rsidRDefault="006F6033" w:rsidP="00211381">
      <w:pPr>
        <w:spacing w:before="26" w:line="227" w:lineRule="exact"/>
        <w:textAlignment w:val="baseline"/>
        <w:rPr>
          <w:rFonts w:ascii="Verdana" w:eastAsia="Calibri" w:hAnsi="Verdana" w:cstheme="minorHAnsi"/>
          <w:b/>
          <w:color w:val="000000"/>
          <w:spacing w:val="-1"/>
          <w:sz w:val="20"/>
          <w:szCs w:val="20"/>
        </w:rPr>
      </w:pPr>
    </w:p>
    <w:p w14:paraId="1213A6A7" w14:textId="77777777" w:rsidR="006F6033" w:rsidRDefault="006F6033" w:rsidP="00211381">
      <w:pPr>
        <w:spacing w:before="26" w:line="227" w:lineRule="exact"/>
        <w:textAlignment w:val="baseline"/>
        <w:rPr>
          <w:rFonts w:ascii="Verdana" w:eastAsia="Calibri" w:hAnsi="Verdana" w:cstheme="minorHAnsi"/>
          <w:b/>
          <w:color w:val="000000"/>
          <w:spacing w:val="-1"/>
          <w:sz w:val="20"/>
          <w:szCs w:val="20"/>
        </w:rPr>
      </w:pPr>
    </w:p>
    <w:p w14:paraId="7A51FEA2" w14:textId="16ECFCE8" w:rsidR="00211381" w:rsidRPr="006F6033" w:rsidRDefault="00211381" w:rsidP="00211381">
      <w:pPr>
        <w:spacing w:before="26" w:line="227" w:lineRule="exact"/>
        <w:textAlignment w:val="baseline"/>
        <w:rPr>
          <w:rFonts w:ascii="Verdana" w:eastAsia="Calibri" w:hAnsi="Verdana" w:cstheme="minorHAnsi"/>
          <w:b/>
          <w:color w:val="000000"/>
          <w:spacing w:val="-1"/>
          <w:sz w:val="20"/>
          <w:szCs w:val="20"/>
        </w:rPr>
      </w:pPr>
      <w:r w:rsidRPr="006F6033">
        <w:rPr>
          <w:rFonts w:ascii="Verdana" w:eastAsia="Calibri" w:hAnsi="Verdana" w:cstheme="minorHAnsi"/>
          <w:b/>
          <w:color w:val="000000"/>
          <w:spacing w:val="-1"/>
          <w:sz w:val="20"/>
          <w:szCs w:val="20"/>
        </w:rPr>
        <w:lastRenderedPageBreak/>
        <w:t>Employee Benefits*</w:t>
      </w:r>
    </w:p>
    <w:p w14:paraId="36A284E3" w14:textId="77777777" w:rsidR="00995EF1" w:rsidRPr="006F6033"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38 days holiday (including bank holidays)</w:t>
      </w:r>
    </w:p>
    <w:p w14:paraId="13D0D202" w14:textId="77777777" w:rsidR="00995EF1" w:rsidRPr="006F6033"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Pension scheme</w:t>
      </w:r>
    </w:p>
    <w:p w14:paraId="716F771F" w14:textId="7D9980E7" w:rsidR="000C133B" w:rsidRPr="006F6033"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Employee Assistance Programme</w:t>
      </w:r>
    </w:p>
    <w:p w14:paraId="45259A8E" w14:textId="77777777" w:rsidR="00995EF1" w:rsidRPr="006F6033"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lunch on each day worked (when the kitchen is open)</w:t>
      </w:r>
    </w:p>
    <w:p w14:paraId="4EA70650" w14:textId="77777777" w:rsidR="00995EF1" w:rsidRPr="006F6033"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Travel loan scheme (bus and bike)</w:t>
      </w:r>
    </w:p>
    <w:p w14:paraId="78AA04E6" w14:textId="77777777" w:rsidR="00995EF1" w:rsidRPr="006F6033"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F6033"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Flu jab (reimbursement)</w:t>
      </w:r>
    </w:p>
    <w:p w14:paraId="08398368" w14:textId="477EDB97" w:rsidR="000C133B" w:rsidRPr="006F6033"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Staff social events</w:t>
      </w:r>
    </w:p>
    <w:p w14:paraId="63BE8BDA" w14:textId="77777777" w:rsidR="00995EF1" w:rsidRPr="006F6033"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entrance to The University of Oxford Botanic Gardens</w:t>
      </w:r>
    </w:p>
    <w:p w14:paraId="20081412" w14:textId="77777777" w:rsidR="00995EF1" w:rsidRPr="006F6033"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entrance to Harcourt Arboretum</w:t>
      </w:r>
    </w:p>
    <w:p w14:paraId="70F6C343" w14:textId="77777777" w:rsidR="00995EF1" w:rsidRPr="006F6033"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Free membership (via application) to </w:t>
      </w:r>
      <w:proofErr w:type="spellStart"/>
      <w:r w:rsidRPr="006F6033">
        <w:rPr>
          <w:rFonts w:ascii="Verdana" w:eastAsia="Calibri" w:hAnsi="Verdana" w:cstheme="minorHAnsi"/>
          <w:color w:val="000000"/>
          <w:sz w:val="20"/>
          <w:szCs w:val="20"/>
        </w:rPr>
        <w:t>Wytham</w:t>
      </w:r>
      <w:proofErr w:type="spellEnd"/>
      <w:r w:rsidRPr="006F6033">
        <w:rPr>
          <w:rFonts w:ascii="Verdana" w:eastAsia="Calibri" w:hAnsi="Verdana" w:cstheme="minorHAnsi"/>
          <w:color w:val="000000"/>
          <w:sz w:val="20"/>
          <w:szCs w:val="20"/>
        </w:rPr>
        <w:t xml:space="preserve"> Woods</w:t>
      </w:r>
    </w:p>
    <w:p w14:paraId="45ADE18B" w14:textId="77777777" w:rsidR="00995EF1" w:rsidRPr="006F6033"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F6033"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membership of the University Club (social, sporting and hospitality club)</w:t>
      </w:r>
    </w:p>
    <w:p w14:paraId="689621E1" w14:textId="77777777" w:rsidR="00211381" w:rsidRPr="006F6033"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Free entrance to </w:t>
      </w:r>
      <w:proofErr w:type="gramStart"/>
      <w:r w:rsidRPr="006F6033">
        <w:rPr>
          <w:rFonts w:ascii="Verdana" w:eastAsia="Calibri" w:hAnsi="Verdana" w:cstheme="minorHAnsi"/>
          <w:color w:val="000000"/>
          <w:sz w:val="20"/>
          <w:szCs w:val="20"/>
        </w:rPr>
        <w:t>University</w:t>
      </w:r>
      <w:proofErr w:type="gramEnd"/>
      <w:r w:rsidRPr="006F6033">
        <w:rPr>
          <w:rFonts w:ascii="Verdana" w:eastAsia="Calibri" w:hAnsi="Verdana" w:cstheme="minorHAnsi"/>
          <w:color w:val="000000"/>
          <w:sz w:val="20"/>
          <w:szCs w:val="20"/>
        </w:rPr>
        <w:t xml:space="preserve"> museums</w:t>
      </w:r>
    </w:p>
    <w:p w14:paraId="629EA534" w14:textId="77777777" w:rsidR="00211381" w:rsidRPr="006F6033"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F6033">
        <w:rPr>
          <w:rFonts w:ascii="Verdana" w:eastAsia="Calibri" w:hAnsi="Verdana" w:cstheme="minorHAnsi"/>
          <w:b/>
          <w:color w:val="000000"/>
          <w:spacing w:val="-7"/>
          <w:sz w:val="20"/>
          <w:szCs w:val="20"/>
          <w:u w:val="single"/>
        </w:rPr>
        <w:t>Retail</w:t>
      </w:r>
    </w:p>
    <w:p w14:paraId="7B34AE61" w14:textId="77777777" w:rsidR="00211381" w:rsidRPr="006F6033"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Ashmolean Museum Café and shop</w:t>
      </w:r>
    </w:p>
    <w:p w14:paraId="2F12AE0F" w14:textId="77777777" w:rsidR="00211381" w:rsidRPr="006F6033"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Bodleian Library shop</w:t>
      </w:r>
    </w:p>
    <w:p w14:paraId="7AAC41CC" w14:textId="7777777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OUP bookshop</w:t>
      </w:r>
    </w:p>
    <w:p w14:paraId="3D6532D5" w14:textId="7777777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15% off at Blackwell’s bookshop in Oxford</w:t>
      </w:r>
    </w:p>
    <w:p w14:paraId="6E5BFBCE" w14:textId="77777777" w:rsidR="00211381" w:rsidRPr="006F6033"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F6033">
        <w:rPr>
          <w:rFonts w:ascii="Verdana" w:eastAsia="Calibri" w:hAnsi="Verdana" w:cstheme="minorHAnsi"/>
          <w:color w:val="000000"/>
          <w:spacing w:val="-1"/>
          <w:sz w:val="20"/>
          <w:szCs w:val="20"/>
        </w:rPr>
        <w:t>Discounts online and in local shops via following the link</w:t>
      </w:r>
      <w:hyperlink r:id="rId9">
        <w:r w:rsidRPr="006F6033">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F6033"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Discounts on over 100 national brands by applying for a FREE TOTUM Discount card</w:t>
      </w:r>
      <w:r w:rsidR="00156215" w:rsidRPr="006F6033">
        <w:rPr>
          <w:rFonts w:ascii="Verdana" w:eastAsia="Calibri" w:hAnsi="Verdana" w:cstheme="minorHAnsi"/>
          <w:color w:val="000000"/>
          <w:sz w:val="20"/>
          <w:szCs w:val="20"/>
        </w:rPr>
        <w:t xml:space="preserve"> </w:t>
      </w:r>
    </w:p>
    <w:p w14:paraId="4C9D35A0" w14:textId="22FDA15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 on retail, food and fitness via applying for a </w:t>
      </w:r>
      <w:proofErr w:type="spellStart"/>
      <w:r w:rsidRPr="006F6033">
        <w:rPr>
          <w:rFonts w:ascii="Verdana" w:eastAsia="Calibri" w:hAnsi="Verdana" w:cstheme="minorHAnsi"/>
          <w:color w:val="000000"/>
          <w:sz w:val="20"/>
          <w:szCs w:val="20"/>
        </w:rPr>
        <w:t>UNiDAYS</w:t>
      </w:r>
      <w:proofErr w:type="spellEnd"/>
      <w:r w:rsidRPr="006F6033">
        <w:rPr>
          <w:rFonts w:ascii="Verdana" w:eastAsia="Calibri" w:hAnsi="Verdana" w:cstheme="minorHAnsi"/>
          <w:color w:val="000000"/>
          <w:sz w:val="20"/>
          <w:szCs w:val="20"/>
        </w:rPr>
        <w:t xml:space="preserve"> account</w:t>
      </w:r>
    </w:p>
    <w:p w14:paraId="461F0980" w14:textId="77234D43" w:rsidR="00211381" w:rsidRPr="006F6033"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F6033"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 at Howdens Oxford quoting Oxford University</w:t>
      </w:r>
    </w:p>
    <w:p w14:paraId="65EA1489" w14:textId="77777777" w:rsidR="00211381" w:rsidRPr="006F6033"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F6033">
        <w:rPr>
          <w:rFonts w:ascii="Verdana" w:eastAsia="Calibri" w:hAnsi="Verdana" w:cstheme="minorHAnsi"/>
          <w:b/>
          <w:color w:val="000000"/>
          <w:spacing w:val="-5"/>
          <w:sz w:val="20"/>
          <w:szCs w:val="20"/>
          <w:u w:val="single"/>
        </w:rPr>
        <w:t>Fitness</w:t>
      </w:r>
    </w:p>
    <w:p w14:paraId="6022AD66" w14:textId="77777777" w:rsidR="00211381" w:rsidRPr="006F6033"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Discounted membership to </w:t>
      </w:r>
      <w:proofErr w:type="gramStart"/>
      <w:r w:rsidRPr="006F6033">
        <w:rPr>
          <w:rFonts w:ascii="Verdana" w:eastAsia="Calibri" w:hAnsi="Verdana" w:cstheme="minorHAnsi"/>
          <w:color w:val="000000"/>
          <w:sz w:val="20"/>
          <w:szCs w:val="20"/>
        </w:rPr>
        <w:t>University</w:t>
      </w:r>
      <w:proofErr w:type="gramEnd"/>
      <w:r w:rsidRPr="006F6033">
        <w:rPr>
          <w:rFonts w:ascii="Verdana" w:eastAsia="Calibri" w:hAnsi="Verdana" w:cstheme="minorHAnsi"/>
          <w:color w:val="000000"/>
          <w:sz w:val="20"/>
          <w:szCs w:val="20"/>
        </w:rPr>
        <w:t xml:space="preserve"> sports facilities, Iffley Road</w:t>
      </w:r>
    </w:p>
    <w:p w14:paraId="2D6315E5" w14:textId="77777777" w:rsidR="00211381" w:rsidRPr="006F6033"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F6033"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Up to 30% discount at various gyms via student membership app </w:t>
      </w:r>
      <w:proofErr w:type="spellStart"/>
      <w:r w:rsidRPr="006F6033">
        <w:rPr>
          <w:rFonts w:ascii="Verdana" w:eastAsia="Calibri" w:hAnsi="Verdana" w:cstheme="minorHAnsi"/>
          <w:color w:val="000000"/>
          <w:sz w:val="20"/>
          <w:szCs w:val="20"/>
        </w:rPr>
        <w:t>UNiDAYS</w:t>
      </w:r>
      <w:proofErr w:type="spellEnd"/>
    </w:p>
    <w:p w14:paraId="6ED0ECBB" w14:textId="77777777" w:rsidR="00204E3A" w:rsidRPr="006F6033"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F6033"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F6033">
        <w:rPr>
          <w:rFonts w:ascii="Verdana" w:eastAsia="Calibri" w:hAnsi="Verdana" w:cstheme="minorHAnsi"/>
          <w:b/>
          <w:color w:val="000000"/>
          <w:spacing w:val="-4"/>
          <w:sz w:val="20"/>
          <w:szCs w:val="20"/>
          <w:u w:val="single"/>
        </w:rPr>
        <w:t>Healthcare</w:t>
      </w:r>
    </w:p>
    <w:p w14:paraId="64A104C5" w14:textId="77777777" w:rsidR="00211381" w:rsidRPr="006F6033"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F6033">
        <w:rPr>
          <w:rFonts w:ascii="Verdana" w:eastAsia="Calibri" w:hAnsi="Verdana" w:cstheme="minorHAnsi"/>
          <w:color w:val="000000"/>
          <w:spacing w:val="-1"/>
          <w:sz w:val="20"/>
          <w:szCs w:val="20"/>
        </w:rPr>
        <w:t xml:space="preserve">Discounted private healthcare via </w:t>
      </w:r>
      <w:proofErr w:type="spellStart"/>
      <w:r w:rsidRPr="006F6033">
        <w:rPr>
          <w:rFonts w:ascii="Verdana" w:eastAsia="Calibri" w:hAnsi="Verdana" w:cstheme="minorHAnsi"/>
          <w:color w:val="000000"/>
          <w:spacing w:val="-1"/>
          <w:sz w:val="20"/>
          <w:szCs w:val="20"/>
        </w:rPr>
        <w:t>Eduhealth</w:t>
      </w:r>
      <w:proofErr w:type="spellEnd"/>
      <w:hyperlink r:id="rId10">
        <w:r w:rsidRPr="006F6033">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F6033"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F6033">
        <w:rPr>
          <w:rFonts w:ascii="Verdana" w:eastAsia="Calibri" w:hAnsi="Verdana" w:cstheme="minorHAnsi"/>
          <w:b/>
          <w:color w:val="000000"/>
          <w:spacing w:val="-3"/>
          <w:sz w:val="20"/>
          <w:szCs w:val="20"/>
          <w:u w:val="single"/>
        </w:rPr>
        <w:t>IT Software</w:t>
      </w:r>
    </w:p>
    <w:p w14:paraId="24879119" w14:textId="77777777" w:rsidR="00211381" w:rsidRPr="006F6033"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Office 365 software download on up to 5 devices</w:t>
      </w:r>
    </w:p>
    <w:p w14:paraId="7FD636B5" w14:textId="77777777" w:rsidR="00211381" w:rsidRPr="006F6033"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antivirus software</w:t>
      </w:r>
    </w:p>
    <w:p w14:paraId="57FDBAA9" w14:textId="77777777" w:rsidR="00211381" w:rsidRPr="006F6033"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F6033">
        <w:rPr>
          <w:rFonts w:ascii="Verdana" w:eastAsia="Calibri" w:hAnsi="Verdana" w:cstheme="minorHAnsi"/>
          <w:b/>
          <w:color w:val="000000"/>
          <w:spacing w:val="-1"/>
          <w:sz w:val="20"/>
          <w:szCs w:val="20"/>
          <w:u w:val="single"/>
        </w:rPr>
        <w:t>Training and Development</w:t>
      </w:r>
    </w:p>
    <w:p w14:paraId="3BEEB771" w14:textId="64A739F1" w:rsidR="00211381" w:rsidRPr="006F6033" w:rsidRDefault="00211381" w:rsidP="00211381">
      <w:pPr>
        <w:pStyle w:val="ListParagraph"/>
        <w:numPr>
          <w:ilvl w:val="0"/>
          <w:numId w:val="5"/>
        </w:numPr>
        <w:rPr>
          <w:rStyle w:val="Hyperlink"/>
          <w:rFonts w:ascii="Verdana" w:eastAsia="Calibri" w:hAnsi="Verdana" w:cstheme="minorHAnsi"/>
          <w:sz w:val="20"/>
          <w:szCs w:val="20"/>
        </w:rPr>
      </w:pPr>
      <w:r w:rsidRPr="006F6033">
        <w:rPr>
          <w:rFonts w:ascii="Verdana" w:eastAsia="Calibri" w:hAnsi="Verdana" w:cstheme="minorHAnsi"/>
          <w:color w:val="000000"/>
          <w:sz w:val="20"/>
          <w:szCs w:val="20"/>
        </w:rPr>
        <w:t>Free access to hundreds of online training courses</w:t>
      </w:r>
      <w:r w:rsidRPr="006F6033">
        <w:rPr>
          <w:rFonts w:ascii="Verdana" w:eastAsia="Calibri" w:hAnsi="Verdana" w:cstheme="minorHAnsi"/>
          <w:sz w:val="20"/>
          <w:szCs w:val="20"/>
        </w:rPr>
        <w:t xml:space="preserve"> </w:t>
      </w:r>
    </w:p>
    <w:p w14:paraId="1EB142B0" w14:textId="77777777" w:rsidR="00211381" w:rsidRPr="006F6033" w:rsidRDefault="00211381" w:rsidP="00211381">
      <w:pPr>
        <w:spacing w:line="188" w:lineRule="exact"/>
        <w:ind w:left="72" w:right="72"/>
        <w:jc w:val="both"/>
        <w:textAlignment w:val="baseline"/>
        <w:rPr>
          <w:rFonts w:ascii="Verdana" w:eastAsia="Calibri" w:hAnsi="Verdana"/>
          <w:color w:val="000000"/>
          <w:sz w:val="20"/>
          <w:szCs w:val="20"/>
        </w:rPr>
      </w:pPr>
    </w:p>
    <w:p w14:paraId="1158144F" w14:textId="77777777" w:rsidR="004F42FE" w:rsidRPr="006F6033" w:rsidRDefault="00211381" w:rsidP="00211381">
      <w:pPr>
        <w:spacing w:line="188" w:lineRule="exact"/>
        <w:ind w:left="72" w:right="72"/>
        <w:jc w:val="both"/>
        <w:textAlignment w:val="baseline"/>
        <w:rPr>
          <w:rFonts w:ascii="Verdana" w:hAnsi="Verdana"/>
          <w:b/>
          <w:sz w:val="20"/>
          <w:szCs w:val="20"/>
        </w:rPr>
      </w:pPr>
      <w:r w:rsidRPr="006F6033">
        <w:rPr>
          <w:rFonts w:ascii="Verdana" w:eastAsia="Calibri" w:hAnsi="Verdana"/>
          <w:color w:val="000000"/>
          <w:sz w:val="20"/>
          <w:szCs w:val="20"/>
        </w:rPr>
        <w:t xml:space="preserve">*Please note that </w:t>
      </w:r>
      <w:proofErr w:type="gramStart"/>
      <w:r w:rsidRPr="006F6033">
        <w:rPr>
          <w:rFonts w:ascii="Verdana" w:eastAsia="Calibri" w:hAnsi="Verdana"/>
          <w:color w:val="000000"/>
          <w:sz w:val="20"/>
          <w:szCs w:val="20"/>
        </w:rPr>
        <w:t>with the exception of</w:t>
      </w:r>
      <w:proofErr w:type="gramEnd"/>
      <w:r w:rsidRPr="006F6033">
        <w:rPr>
          <w:rFonts w:ascii="Verdana" w:eastAsia="Calibri" w:hAnsi="Verdana"/>
          <w:color w:val="000000"/>
          <w:sz w:val="20"/>
          <w:szCs w:val="20"/>
        </w:rPr>
        <w:t xml:space="preserve"> holidays and pension provision, the benefits listed are non-contractual and may be subject to change or withdrawn.</w:t>
      </w:r>
      <w:r w:rsidR="0065315B" w:rsidRPr="006F6033">
        <w:rPr>
          <w:rFonts w:ascii="Verdana" w:eastAsia="Calibri" w:hAnsi="Verdana"/>
          <w:color w:val="000000"/>
          <w:sz w:val="20"/>
          <w:szCs w:val="20"/>
        </w:rPr>
        <w:t xml:space="preserve"> </w:t>
      </w:r>
    </w:p>
    <w:sectPr w:rsidR="004F42FE" w:rsidRPr="006F6033"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21BC8"/>
    <w:multiLevelType w:val="multilevel"/>
    <w:tmpl w:val="EA6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31B64"/>
    <w:multiLevelType w:val="multilevel"/>
    <w:tmpl w:val="034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37AA3"/>
    <w:multiLevelType w:val="multilevel"/>
    <w:tmpl w:val="25300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339398">
    <w:abstractNumId w:val="12"/>
  </w:num>
  <w:num w:numId="2" w16cid:durableId="1350251966">
    <w:abstractNumId w:val="9"/>
  </w:num>
  <w:num w:numId="3" w16cid:durableId="331685799">
    <w:abstractNumId w:val="4"/>
  </w:num>
  <w:num w:numId="4" w16cid:durableId="1717700897">
    <w:abstractNumId w:val="6"/>
  </w:num>
  <w:num w:numId="5" w16cid:durableId="1218711088">
    <w:abstractNumId w:val="10"/>
  </w:num>
  <w:num w:numId="6" w16cid:durableId="885221460">
    <w:abstractNumId w:val="7"/>
  </w:num>
  <w:num w:numId="7" w16cid:durableId="909929502">
    <w:abstractNumId w:val="1"/>
  </w:num>
  <w:num w:numId="8" w16cid:durableId="705715237">
    <w:abstractNumId w:val="0"/>
  </w:num>
  <w:num w:numId="9" w16cid:durableId="1168515597">
    <w:abstractNumId w:val="8"/>
  </w:num>
  <w:num w:numId="10" w16cid:durableId="1625116756">
    <w:abstractNumId w:val="11"/>
  </w:num>
  <w:num w:numId="11" w16cid:durableId="1101296994">
    <w:abstractNumId w:val="3"/>
  </w:num>
  <w:num w:numId="12" w16cid:durableId="923149547">
    <w:abstractNumId w:val="2"/>
  </w:num>
  <w:num w:numId="13" w16cid:durableId="17978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E189C"/>
    <w:rsid w:val="003F1786"/>
    <w:rsid w:val="003F364C"/>
    <w:rsid w:val="003F3779"/>
    <w:rsid w:val="004102F9"/>
    <w:rsid w:val="004225E8"/>
    <w:rsid w:val="004723BD"/>
    <w:rsid w:val="004808E9"/>
    <w:rsid w:val="004B7ABF"/>
    <w:rsid w:val="004D33FD"/>
    <w:rsid w:val="004F42FE"/>
    <w:rsid w:val="00587FCF"/>
    <w:rsid w:val="0060773A"/>
    <w:rsid w:val="0065315B"/>
    <w:rsid w:val="00672187"/>
    <w:rsid w:val="006855F2"/>
    <w:rsid w:val="006F6033"/>
    <w:rsid w:val="00790751"/>
    <w:rsid w:val="007A33AA"/>
    <w:rsid w:val="00915279"/>
    <w:rsid w:val="00946A9D"/>
    <w:rsid w:val="009676A0"/>
    <w:rsid w:val="0097021D"/>
    <w:rsid w:val="00995EF1"/>
    <w:rsid w:val="009F1528"/>
    <w:rsid w:val="00A1152B"/>
    <w:rsid w:val="00A21660"/>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Nina Thompson</cp:lastModifiedBy>
  <cp:revision>2</cp:revision>
  <dcterms:created xsi:type="dcterms:W3CDTF">2025-06-19T13:59:00Z</dcterms:created>
  <dcterms:modified xsi:type="dcterms:W3CDTF">2025-06-19T13:59:00Z</dcterms:modified>
</cp:coreProperties>
</file>